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823352" w:rsidRDefault="00823352" w:rsidP="00823352">
      <w:pPr>
        <w:suppressAutoHyphens/>
        <w:overflowPunct w:val="0"/>
        <w:autoSpaceDE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3352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82335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23352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823352">
        <w:rPr>
          <w:rFonts w:ascii="Times New Roman" w:eastAsia="Times New Roman" w:hAnsi="Times New Roman" w:cs="Times New Roman"/>
          <w:sz w:val="24"/>
          <w:szCs w:val="28"/>
        </w:rPr>
        <w:t xml:space="preserve"> 5</w:t>
      </w:r>
    </w:p>
    <w:p w:rsidR="00331840" w:rsidRPr="00823352" w:rsidRDefault="00331840" w:rsidP="00823352">
      <w:pPr>
        <w:suppressAutoHyphens/>
        <w:overflowPunct w:val="0"/>
        <w:autoSpaceDE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823352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823352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823352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A37D14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"____" ___________ 2022</w:t>
            </w:r>
            <w:r w:rsidR="00331840"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A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AD" w:rsidRPr="00A37D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37D14">
        <w:rPr>
          <w:szCs w:val="28"/>
        </w:rPr>
        <w:t xml:space="preserve"> </w:t>
      </w:r>
      <w:r w:rsidRPr="00A37D14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2F3EAD">
        <w:rPr>
          <w:rFonts w:ascii="Times New Roman" w:eastAsia="Times New Roman" w:hAnsi="Times New Roman" w:cs="Times New Roman"/>
          <w:sz w:val="28"/>
          <w:szCs w:val="28"/>
        </w:rPr>
        <w:t>Архангельск", в лице</w:t>
      </w:r>
      <w:r w:rsidR="0097739A" w:rsidRPr="002F3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EA0A0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</w:t>
      </w:r>
      <w:r w:rsidRPr="00D533E8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</w:t>
      </w:r>
      <w:r w:rsidRPr="00D533E8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________________</w:t>
      </w:r>
      <w:r w:rsidRPr="00D533E8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533E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D533E8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____</w:t>
      </w:r>
      <w:r w:rsidRPr="00D533E8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заключили настоящий договор (далее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Договор) о нижеследующем: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37D14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D533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 (далее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передвижной нестационарный торговый объект), на </w:t>
      </w:r>
      <w:r w:rsidRPr="00A37D14">
        <w:rPr>
          <w:rFonts w:ascii="Times New Roman" w:hAnsi="Times New Roman" w:cs="Times New Roman"/>
          <w:sz w:val="28"/>
          <w:szCs w:val="28"/>
        </w:rPr>
        <w:t xml:space="preserve">месте размещения, расположенном по адресу: </w:t>
      </w:r>
      <w:r w:rsidR="00691A52" w:rsidRPr="00A37D14">
        <w:rPr>
          <w:rFonts w:ascii="Times New Roman" w:hAnsi="Times New Roman" w:cs="Times New Roman"/>
          <w:sz w:val="28"/>
          <w:szCs w:val="28"/>
        </w:rPr>
        <w:t>_________________</w:t>
      </w:r>
      <w:r w:rsidR="00EA0A0E" w:rsidRPr="00A37D14">
        <w:rPr>
          <w:rFonts w:ascii="Times New Roman" w:hAnsi="Times New Roman" w:cs="Times New Roman"/>
          <w:sz w:val="28"/>
          <w:szCs w:val="28"/>
        </w:rPr>
        <w:t>, площадью 5</w:t>
      </w:r>
      <w:r w:rsidR="00EA0A0E" w:rsidRPr="00A37D14">
        <w:rPr>
          <w:rFonts w:ascii="Times New Roman" w:hAnsi="Times New Roman" w:cs="Times New Roman"/>
          <w:sz w:val="24"/>
        </w:rPr>
        <w:t xml:space="preserve"> </w:t>
      </w:r>
      <w:r w:rsidR="006F6A54" w:rsidRPr="00A37D14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A37D1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A37D14">
        <w:rPr>
          <w:rFonts w:ascii="Times New Roman" w:hAnsi="Times New Roman" w:cs="Times New Roman"/>
          <w:sz w:val="28"/>
          <w:szCs w:val="28"/>
        </w:rPr>
        <w:t xml:space="preserve"> место размещения объекта) и включенном в </w:t>
      </w:r>
      <w:hyperlink r:id="rId7" w:history="1">
        <w:r w:rsidRPr="00A37D14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A37D14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A37D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37D14">
        <w:rPr>
          <w:szCs w:val="28"/>
        </w:rPr>
        <w:t xml:space="preserve"> </w:t>
      </w:r>
      <w:r w:rsidRPr="00A37D14">
        <w:rPr>
          <w:rFonts w:ascii="Times New Roman" w:hAnsi="Times New Roman" w:cs="Times New Roman"/>
          <w:sz w:val="28"/>
          <w:szCs w:val="28"/>
        </w:rPr>
        <w:t>"Город Архангельск", утвержденную постановление</w:t>
      </w:r>
      <w:r w:rsidR="00463D20">
        <w:rPr>
          <w:rFonts w:ascii="Times New Roman" w:hAnsi="Times New Roman" w:cs="Times New Roman"/>
          <w:sz w:val="28"/>
          <w:szCs w:val="28"/>
        </w:rPr>
        <w:t xml:space="preserve">м мэрии города Архангельска от </w:t>
      </w:r>
      <w:r w:rsidRPr="00A37D14">
        <w:rPr>
          <w:rFonts w:ascii="Times New Roman" w:hAnsi="Times New Roman" w:cs="Times New Roman"/>
          <w:sz w:val="28"/>
          <w:szCs w:val="28"/>
        </w:rPr>
        <w:t>2</w:t>
      </w:r>
      <w:r w:rsidR="00463D20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37D14">
        <w:rPr>
          <w:rFonts w:ascii="Times New Roman" w:hAnsi="Times New Roman" w:cs="Times New Roman"/>
          <w:sz w:val="28"/>
          <w:szCs w:val="28"/>
        </w:rPr>
        <w:t xml:space="preserve">2012 </w:t>
      </w:r>
      <w:r w:rsidR="00463D20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463D20">
        <w:rPr>
          <w:rFonts w:ascii="Times New Roman" w:hAnsi="Times New Roman" w:cs="Times New Roman"/>
          <w:sz w:val="28"/>
          <w:szCs w:val="28"/>
        </w:rPr>
        <w:t xml:space="preserve"> </w:t>
      </w:r>
      <w:r w:rsidR="00A61B2D" w:rsidRPr="00A37D14">
        <w:rPr>
          <w:rFonts w:ascii="Times New Roman" w:hAnsi="Times New Roman" w:cs="Times New Roman"/>
          <w:sz w:val="28"/>
          <w:szCs w:val="28"/>
        </w:rPr>
        <w:t>№</w:t>
      </w:r>
      <w:r w:rsidRPr="00A37D14">
        <w:rPr>
          <w:rFonts w:ascii="Times New Roman" w:hAnsi="Times New Roman" w:cs="Times New Roman"/>
          <w:sz w:val="28"/>
          <w:szCs w:val="28"/>
        </w:rPr>
        <w:t xml:space="preserve"> 178, (далее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A37D14">
        <w:rPr>
          <w:rFonts w:ascii="Times New Roman" w:hAnsi="Times New Roman" w:cs="Times New Roman"/>
          <w:sz w:val="28"/>
          <w:szCs w:val="28"/>
        </w:rPr>
        <w:t xml:space="preserve"> Схема) под номером </w:t>
      </w:r>
      <w:r w:rsidR="006F6A54" w:rsidRPr="00A37D14">
        <w:rPr>
          <w:rFonts w:ascii="Times New Roman" w:hAnsi="Times New Roman" w:cs="Times New Roman"/>
          <w:sz w:val="28"/>
          <w:szCs w:val="28"/>
        </w:rPr>
        <w:t>______</w:t>
      </w:r>
      <w:r w:rsidRPr="00A37D14">
        <w:rPr>
          <w:rFonts w:ascii="Times New Roman" w:hAnsi="Times New Roman" w:cs="Times New Roman"/>
          <w:sz w:val="28"/>
          <w:szCs w:val="28"/>
        </w:rPr>
        <w:t xml:space="preserve">,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A37D14">
        <w:rPr>
          <w:rFonts w:ascii="Times New Roman" w:hAnsi="Times New Roman" w:cs="Times New Roman"/>
          <w:sz w:val="28"/>
          <w:szCs w:val="28"/>
        </w:rPr>
        <w:t xml:space="preserve">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A37D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37D14">
        <w:rPr>
          <w:szCs w:val="28"/>
        </w:rPr>
        <w:t xml:space="preserve"> </w:t>
      </w:r>
      <w:r w:rsidRPr="00A37D14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A37D14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A37D14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C90F24" w:rsidRPr="00A37D14" w:rsidRDefault="0005502E" w:rsidP="00C9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/>
          <w:sz w:val="28"/>
          <w:szCs w:val="28"/>
        </w:rPr>
        <w:t xml:space="preserve">тип: </w:t>
      </w:r>
      <w:r w:rsidR="00EA0A0E" w:rsidRPr="00A37D14">
        <w:rPr>
          <w:rFonts w:ascii="Times New Roman" w:eastAsia="Times New Roman" w:hAnsi="Times New Roman" w:cs="Times New Roman"/>
          <w:sz w:val="28"/>
          <w:szCs w:val="28"/>
        </w:rPr>
        <w:t>разборная палатка;</w:t>
      </w:r>
    </w:p>
    <w:p w:rsidR="0005502E" w:rsidRPr="00A37D14" w:rsidRDefault="0005502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37D14">
        <w:rPr>
          <w:rFonts w:ascii="Times New Roman" w:hAnsi="Times New Roman"/>
          <w:sz w:val="28"/>
          <w:szCs w:val="28"/>
        </w:rPr>
        <w:t>площадь</w:t>
      </w:r>
      <w:r w:rsidR="00EA0A0E" w:rsidRPr="00A37D14">
        <w:rPr>
          <w:rFonts w:ascii="Times New Roman" w:hAnsi="Times New Roman"/>
          <w:sz w:val="28"/>
          <w:szCs w:val="28"/>
        </w:rPr>
        <w:t>:</w:t>
      </w:r>
      <w:r w:rsidRPr="00A37D14">
        <w:rPr>
          <w:rFonts w:ascii="Times New Roman" w:hAnsi="Times New Roman"/>
          <w:sz w:val="28"/>
          <w:szCs w:val="28"/>
        </w:rPr>
        <w:t xml:space="preserve"> </w:t>
      </w:r>
      <w:r w:rsidR="00EA0A0E" w:rsidRPr="00A37D14">
        <w:rPr>
          <w:rFonts w:ascii="Times New Roman" w:hAnsi="Times New Roman"/>
          <w:sz w:val="28"/>
          <w:szCs w:val="28"/>
        </w:rPr>
        <w:t>5</w:t>
      </w:r>
      <w:r w:rsidRPr="00A37D14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A37D14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A37D14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A37D14">
        <w:rPr>
          <w:sz w:val="28"/>
          <w:szCs w:val="28"/>
        </w:rPr>
        <w:t xml:space="preserve"> </w:t>
      </w:r>
      <w:r w:rsidR="00EA0A0E" w:rsidRPr="00A37D14">
        <w:rPr>
          <w:rFonts w:ascii="Times New Roman" w:hAnsi="Times New Roman"/>
          <w:sz w:val="28"/>
          <w:szCs w:val="28"/>
        </w:rPr>
        <w:t>цветы.</w:t>
      </w: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37D14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A37D14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A37D14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A37D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37D14">
        <w:rPr>
          <w:szCs w:val="28"/>
        </w:rPr>
        <w:t xml:space="preserve"> </w:t>
      </w:r>
      <w:r w:rsidRPr="00A37D14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A37D14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A37D14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A37D14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A37D14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A37D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7D14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A37D14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A37D14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</w:t>
      </w:r>
      <w:r w:rsidRPr="00D533E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D533E8">
        <w:rPr>
          <w:rFonts w:ascii="Times New Roman" w:hAnsi="Times New Roman" w:cs="Times New Roman"/>
          <w:sz w:val="28"/>
          <w:szCs w:val="28"/>
        </w:rPr>
        <w:lastRenderedPageBreak/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2.3.6. Использовать современное торговое оборудование, содержать его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D533E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D533E8">
        <w:rPr>
          <w:rFonts w:ascii="Times New Roman" w:hAnsi="Times New Roman" w:cs="Times New Roman"/>
          <w:sz w:val="28"/>
          <w:szCs w:val="28"/>
        </w:rPr>
        <w:t xml:space="preserve">2.5. "Владелец  НТО" не вправе передавать права и обязанности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0B5" w:rsidRDefault="00C260B5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</w:t>
      </w:r>
      <w:r w:rsidR="00463D20">
        <w:rPr>
          <w:rFonts w:ascii="Times New Roman" w:hAnsi="Times New Roman"/>
          <w:sz w:val="28"/>
          <w:szCs w:val="28"/>
        </w:rPr>
        <w:br/>
      </w:r>
      <w:r w:rsidRPr="00D533E8">
        <w:rPr>
          <w:rFonts w:ascii="Times New Roman" w:hAnsi="Times New Roman"/>
          <w:sz w:val="28"/>
          <w:szCs w:val="28"/>
        </w:rPr>
        <w:t>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A37D14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A37D14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A37D14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A37D14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A37D14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A37D14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D14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A37D14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A37D14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A37D14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A37D14">
        <w:rPr>
          <w:rFonts w:ascii="Times New Roman" w:hAnsi="Times New Roman"/>
          <w:sz w:val="28"/>
          <w:szCs w:val="28"/>
        </w:rPr>
        <w:t xml:space="preserve">рублей ____копеек </w:t>
      </w:r>
      <w:r w:rsidRPr="00A37D14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A37D14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7D14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A37D14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D14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A37D14">
        <w:rPr>
          <w:rFonts w:ascii="Times New Roman" w:hAnsi="Times New Roman"/>
          <w:sz w:val="28"/>
          <w:szCs w:val="28"/>
        </w:rPr>
        <w:t xml:space="preserve"> ________</w:t>
      </w:r>
      <w:r w:rsidR="00463D20">
        <w:rPr>
          <w:rFonts w:ascii="Times New Roman" w:hAnsi="Times New Roman"/>
          <w:sz w:val="28"/>
          <w:szCs w:val="28"/>
        </w:rPr>
        <w:t xml:space="preserve">_(________) </w:t>
      </w:r>
      <w:proofErr w:type="gramEnd"/>
      <w:r w:rsidR="00463D20">
        <w:rPr>
          <w:rFonts w:ascii="Times New Roman" w:hAnsi="Times New Roman"/>
          <w:sz w:val="28"/>
          <w:szCs w:val="28"/>
        </w:rPr>
        <w:t xml:space="preserve">рублей ___ копеек, </w:t>
      </w:r>
      <w:r w:rsidRPr="00A37D14">
        <w:rPr>
          <w:rFonts w:ascii="Times New Roman" w:hAnsi="Times New Roman"/>
          <w:sz w:val="28"/>
          <w:szCs w:val="28"/>
        </w:rPr>
        <w:t>засчитывается в счет платы цены права на размещение нестационарного торгового объекта.</w:t>
      </w:r>
    </w:p>
    <w:p w:rsidR="00207733" w:rsidRPr="00A37D14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D14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A37D14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A37D14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A37D14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D14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463D20">
        <w:rPr>
          <w:rFonts w:ascii="Times New Roman" w:hAnsi="Times New Roman"/>
          <w:sz w:val="28"/>
          <w:szCs w:val="28"/>
        </w:rPr>
        <w:br/>
      </w:r>
      <w:r w:rsidRPr="00A37D14">
        <w:rPr>
          <w:rFonts w:ascii="Times New Roman" w:hAnsi="Times New Roman"/>
          <w:sz w:val="28"/>
          <w:szCs w:val="28"/>
        </w:rPr>
        <w:t>по след</w:t>
      </w:r>
      <w:r w:rsidR="00463D20">
        <w:rPr>
          <w:rFonts w:ascii="Times New Roman" w:hAnsi="Times New Roman"/>
          <w:sz w:val="28"/>
          <w:szCs w:val="28"/>
        </w:rPr>
        <w:t>ующим реквизитам: Получатель:</w:t>
      </w:r>
      <w:r w:rsidRPr="00A37D14">
        <w:rPr>
          <w:rFonts w:ascii="Times New Roman" w:hAnsi="Times New Roman"/>
          <w:sz w:val="28"/>
          <w:szCs w:val="28"/>
        </w:rPr>
        <w:t xml:space="preserve">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A37D14">
        <w:rPr>
          <w:rFonts w:ascii="Times New Roman" w:hAnsi="Times New Roman"/>
          <w:sz w:val="28"/>
          <w:szCs w:val="28"/>
        </w:rPr>
        <w:t>от</w:t>
      </w:r>
      <w:proofErr w:type="gramEnd"/>
      <w:r w:rsidRPr="00A37D14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4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</w:t>
      </w:r>
      <w:r w:rsidRPr="00D533E8">
        <w:rPr>
          <w:rFonts w:ascii="Times New Roman" w:hAnsi="Times New Roman" w:cs="Times New Roman"/>
          <w:sz w:val="28"/>
          <w:szCs w:val="28"/>
        </w:rPr>
        <w:t xml:space="preserve">Договора, в том числе в связи с отказом юридического лица или индивидуального предпринимателя от права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A37D14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207733" w:rsidRPr="00A37D14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A37D14">
        <w:rPr>
          <w:sz w:val="16"/>
          <w:szCs w:val="16"/>
        </w:rPr>
        <w:t xml:space="preserve"> </w:t>
      </w:r>
      <w:r w:rsidR="006F6A54" w:rsidRPr="00A37D14">
        <w:rPr>
          <w:rFonts w:ascii="Times New Roman" w:hAnsi="Times New Roman" w:cs="Times New Roman"/>
          <w:sz w:val="28"/>
          <w:szCs w:val="28"/>
        </w:rPr>
        <w:t>включительно</w:t>
      </w:r>
      <w:r w:rsidRPr="00A37D14">
        <w:rPr>
          <w:rFonts w:ascii="Times New Roman" w:hAnsi="Times New Roman" w:cs="Times New Roman"/>
          <w:sz w:val="28"/>
          <w:szCs w:val="28"/>
        </w:rPr>
        <w:t xml:space="preserve">, а в части исполнения обязательств, связанных с освобождением </w:t>
      </w:r>
      <w:r w:rsidRPr="00D533E8">
        <w:rPr>
          <w:rFonts w:ascii="Times New Roman" w:hAnsi="Times New Roman" w:cs="Times New Roman"/>
          <w:sz w:val="28"/>
          <w:szCs w:val="28"/>
        </w:rPr>
        <w:t xml:space="preserve">места размещения объекта от передвижного нестационарного торгового объекта,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до момента исполнения таких обязательств.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D533E8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</w:t>
      </w:r>
      <w:r w:rsidR="00463D2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</w:t>
      </w:r>
      <w:r w:rsidR="00463D2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</w:t>
      </w:r>
      <w:r w:rsidR="00463D2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A37D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37D14">
        <w:rPr>
          <w:szCs w:val="28"/>
        </w:rPr>
        <w:t xml:space="preserve"> </w:t>
      </w:r>
      <w:r w:rsidRPr="00A37D14">
        <w:rPr>
          <w:rFonts w:ascii="Times New Roman" w:hAnsi="Times New Roman" w:cs="Times New Roman"/>
          <w:sz w:val="28"/>
          <w:szCs w:val="28"/>
        </w:rPr>
        <w:t>"Город Архангельск</w:t>
      </w:r>
      <w:r w:rsidRPr="00D533E8">
        <w:rPr>
          <w:rFonts w:ascii="Times New Roman" w:hAnsi="Times New Roman" w:cs="Times New Roman"/>
          <w:sz w:val="28"/>
          <w:szCs w:val="28"/>
        </w:rPr>
        <w:t xml:space="preserve">" (предоставление земельного участка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D533E8">
        <w:rPr>
          <w:rFonts w:ascii="Times New Roman" w:hAnsi="Times New Roman" w:cs="Times New Roman"/>
          <w:sz w:val="28"/>
          <w:szCs w:val="28"/>
        </w:rPr>
        <w:t>7.1</w:t>
      </w:r>
      <w:r w:rsidRPr="00A37D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7D14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2F3EAD" w:rsidRPr="00A37D1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37D14">
        <w:rPr>
          <w:szCs w:val="28"/>
        </w:rPr>
        <w:t xml:space="preserve"> </w:t>
      </w:r>
      <w:r w:rsidRPr="00A37D14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A37D14">
        <w:rPr>
          <w:rFonts w:ascii="Times New Roman" w:hAnsi="Times New Roman" w:cs="Times New Roman"/>
          <w:sz w:val="28"/>
          <w:szCs w:val="28"/>
        </w:rPr>
        <w:t xml:space="preserve">в Договор вносятся изменения, касающиеся </w:t>
      </w:r>
      <w:r w:rsidRPr="00D533E8">
        <w:rPr>
          <w:rFonts w:ascii="Times New Roman" w:hAnsi="Times New Roman" w:cs="Times New Roman"/>
          <w:sz w:val="28"/>
          <w:szCs w:val="28"/>
        </w:rPr>
        <w:t>местоположения нестационарного торгового объекта.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7.3. Заключив Договор, "Владелец НТО" подтверждает, что требования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C260B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Договор составлен в 2 экземплярах </w:t>
      </w:r>
      <w:r w:rsidR="00463D20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752"/>
      <w:bookmarkEnd w:id="16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54"/>
      <w:bookmarkEnd w:id="17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63D20">
        <w:rPr>
          <w:rFonts w:ascii="Times New Roman" w:hAnsi="Times New Roman" w:cs="Times New Roman"/>
          <w:sz w:val="28"/>
          <w:szCs w:val="28"/>
        </w:rPr>
        <w:t>____________</w:t>
      </w:r>
      <w:bookmarkStart w:id="18" w:name="_GoBack"/>
      <w:bookmarkEnd w:id="18"/>
      <w:r w:rsidR="00331840" w:rsidRPr="00D533E8">
        <w:rPr>
          <w:rFonts w:ascii="Times New Roman" w:hAnsi="Times New Roman" w:cs="Times New Roman"/>
          <w:sz w:val="28"/>
          <w:szCs w:val="28"/>
        </w:rPr>
        <w:t>_________.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</w:t>
      </w:r>
      <w:r w:rsidR="00463D20">
        <w:rPr>
          <w:rFonts w:ascii="Times New Roman" w:hAnsi="Times New Roman" w:cs="Times New Roman"/>
          <w:sz w:val="28"/>
          <w:szCs w:val="28"/>
        </w:rPr>
        <w:br/>
      </w:r>
      <w:r w:rsidRPr="00C260B5">
        <w:rPr>
          <w:rFonts w:ascii="Times New Roman" w:hAnsi="Times New Roman" w:cs="Times New Roman"/>
          <w:spacing w:val="-4"/>
          <w:sz w:val="28"/>
          <w:szCs w:val="28"/>
        </w:rPr>
        <w:t xml:space="preserve">и доставленные по адресу соответствующей СТОРОНЫ, указанному в </w:t>
      </w:r>
      <w:hyperlink w:anchor="P754" w:history="1">
        <w:r w:rsidRPr="00C260B5">
          <w:rPr>
            <w:rFonts w:ascii="Times New Roman" w:hAnsi="Times New Roman" w:cs="Times New Roman"/>
            <w:spacing w:val="-4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463D2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  <w:r>
        <w:rPr>
          <w:rFonts w:ascii="Times New Roman" w:hAnsi="Times New Roman" w:cs="Times New Roman"/>
          <w:sz w:val="24"/>
        </w:rPr>
        <w:t>___________</w:t>
      </w:r>
    </w:p>
    <w:bookmarkStart w:id="20" w:name="P763"/>
    <w:bookmarkEnd w:id="20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 xml:space="preserve">казывается основание заключения договора (дата проведения аукциона, реквизиты протокола </w:t>
      </w:r>
      <w:r w:rsidR="00463D20">
        <w:rPr>
          <w:rFonts w:ascii="Times New Roman" w:hAnsi="Times New Roman" w:cs="Times New Roman"/>
          <w:szCs w:val="20"/>
        </w:rPr>
        <w:br/>
      </w:r>
      <w:r w:rsidRPr="00D533E8">
        <w:rPr>
          <w:rFonts w:ascii="Times New Roman" w:hAnsi="Times New Roman" w:cs="Times New Roman"/>
          <w:szCs w:val="20"/>
        </w:rPr>
        <w:t>об итогах аукциона/</w:t>
      </w:r>
      <w:r w:rsidR="00463D20">
        <w:rPr>
          <w:rFonts w:ascii="Times New Roman" w:hAnsi="Times New Roman" w:cs="Times New Roman"/>
          <w:szCs w:val="20"/>
        </w:rPr>
        <w:t xml:space="preserve"> </w:t>
      </w:r>
      <w:r w:rsidRPr="00D533E8">
        <w:rPr>
          <w:rFonts w:ascii="Times New Roman" w:hAnsi="Times New Roman" w:cs="Times New Roman"/>
          <w:szCs w:val="20"/>
        </w:rPr>
        <w:t>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Default="00331840" w:rsidP="00DA70F5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hAnsi="Times New Roman" w:cs="Times New Roman"/>
          <w:sz w:val="24"/>
        </w:rPr>
      </w:pPr>
    </w:p>
    <w:sectPr w:rsidR="00331840" w:rsidSect="00C260B5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E8" w:rsidRDefault="009A6DE8" w:rsidP="0005502E">
      <w:pPr>
        <w:spacing w:after="0" w:line="240" w:lineRule="auto"/>
      </w:pPr>
      <w:r>
        <w:separator/>
      </w:r>
    </w:p>
  </w:endnote>
  <w:endnote w:type="continuationSeparator" w:id="0">
    <w:p w:rsidR="009A6DE8" w:rsidRDefault="009A6DE8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E8" w:rsidRDefault="009A6DE8" w:rsidP="0005502E">
      <w:pPr>
        <w:spacing w:after="0" w:line="240" w:lineRule="auto"/>
      </w:pPr>
      <w:r>
        <w:separator/>
      </w:r>
    </w:p>
  </w:footnote>
  <w:footnote w:type="continuationSeparator" w:id="0">
    <w:p w:rsidR="009A6DE8" w:rsidRDefault="009A6DE8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383020445"/>
      <w:docPartObj>
        <w:docPartGallery w:val="Page Numbers (Top of Page)"/>
        <w:docPartUnique/>
      </w:docPartObj>
    </w:sdtPr>
    <w:sdtEndPr/>
    <w:sdtContent>
      <w:p w:rsidR="00C260B5" w:rsidRPr="00C260B5" w:rsidRDefault="00C260B5">
        <w:pPr>
          <w:pStyle w:val="a4"/>
          <w:jc w:val="center"/>
          <w:rPr>
            <w:sz w:val="24"/>
          </w:rPr>
        </w:pPr>
        <w:r w:rsidRPr="00C260B5">
          <w:rPr>
            <w:sz w:val="24"/>
          </w:rPr>
          <w:fldChar w:fldCharType="begin"/>
        </w:r>
        <w:r w:rsidRPr="00C260B5">
          <w:rPr>
            <w:sz w:val="24"/>
          </w:rPr>
          <w:instrText>PAGE   \* MERGEFORMAT</w:instrText>
        </w:r>
        <w:r w:rsidRPr="00C260B5">
          <w:rPr>
            <w:sz w:val="24"/>
          </w:rPr>
          <w:fldChar w:fldCharType="separate"/>
        </w:r>
        <w:r w:rsidR="00463D20">
          <w:rPr>
            <w:noProof/>
            <w:sz w:val="24"/>
          </w:rPr>
          <w:t>8</w:t>
        </w:r>
        <w:r w:rsidRPr="00C260B5">
          <w:rPr>
            <w:sz w:val="24"/>
          </w:rPr>
          <w:fldChar w:fldCharType="end"/>
        </w:r>
      </w:p>
    </w:sdtContent>
  </w:sdt>
  <w:p w:rsidR="00C260B5" w:rsidRDefault="00C260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2070F0"/>
    <w:rsid w:val="00207733"/>
    <w:rsid w:val="002237B7"/>
    <w:rsid w:val="00263F4B"/>
    <w:rsid w:val="00283822"/>
    <w:rsid w:val="002A0FE3"/>
    <w:rsid w:val="002F3EAD"/>
    <w:rsid w:val="00304D56"/>
    <w:rsid w:val="00307140"/>
    <w:rsid w:val="003142FF"/>
    <w:rsid w:val="00331840"/>
    <w:rsid w:val="00331EAC"/>
    <w:rsid w:val="003D1BDD"/>
    <w:rsid w:val="004320DB"/>
    <w:rsid w:val="00463D20"/>
    <w:rsid w:val="00483F56"/>
    <w:rsid w:val="004E6ADB"/>
    <w:rsid w:val="0055195A"/>
    <w:rsid w:val="00575ABB"/>
    <w:rsid w:val="00691A52"/>
    <w:rsid w:val="006B0002"/>
    <w:rsid w:val="006B7FBC"/>
    <w:rsid w:val="006D6ED2"/>
    <w:rsid w:val="006F6A54"/>
    <w:rsid w:val="0070534E"/>
    <w:rsid w:val="00716B44"/>
    <w:rsid w:val="0076514E"/>
    <w:rsid w:val="00823352"/>
    <w:rsid w:val="008B2771"/>
    <w:rsid w:val="008F409B"/>
    <w:rsid w:val="00927933"/>
    <w:rsid w:val="00967C7E"/>
    <w:rsid w:val="0097739A"/>
    <w:rsid w:val="009A6DE8"/>
    <w:rsid w:val="00A37D14"/>
    <w:rsid w:val="00A61B2D"/>
    <w:rsid w:val="00A70C10"/>
    <w:rsid w:val="00B3519F"/>
    <w:rsid w:val="00C260B5"/>
    <w:rsid w:val="00C90F24"/>
    <w:rsid w:val="00D533E8"/>
    <w:rsid w:val="00DA449E"/>
    <w:rsid w:val="00DA70F5"/>
    <w:rsid w:val="00E70196"/>
    <w:rsid w:val="00E75021"/>
    <w:rsid w:val="00EA0A0E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2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0B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2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0B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4</cp:revision>
  <cp:lastPrinted>2021-06-07T12:24:00Z</cp:lastPrinted>
  <dcterms:created xsi:type="dcterms:W3CDTF">2022-03-15T11:58:00Z</dcterms:created>
  <dcterms:modified xsi:type="dcterms:W3CDTF">2022-03-15T13:35:00Z</dcterms:modified>
</cp:coreProperties>
</file>